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480"/>
        <w:gridCol w:w="3827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D2C91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1F819982" w14:textId="77777777" w:rsidR="00ED2C91" w:rsidRPr="00ED2C91" w:rsidRDefault="00ED2C91" w:rsidP="00ED2C91">
            <w:pPr>
              <w:pStyle w:val="Titolo2"/>
              <w:ind w:left="0"/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  <w:bookmarkStart w:id="0" w:name="_Hlk14091025"/>
            <w:r w:rsidRPr="00ED2C91">
              <w:rPr>
                <w:rFonts w:ascii="Arial" w:hAnsi="Arial" w:cs="Arial"/>
                <w:sz w:val="20"/>
                <w:szCs w:val="20"/>
                <w:lang w:eastAsia="x-none"/>
              </w:rPr>
              <w:t xml:space="preserve">GARA A </w:t>
            </w:r>
            <w:bookmarkStart w:id="1" w:name="_Hlk190431508"/>
            <w:r w:rsidRPr="00ED2C91">
              <w:rPr>
                <w:rFonts w:ascii="Arial" w:hAnsi="Arial" w:cs="Arial"/>
                <w:sz w:val="20"/>
                <w:szCs w:val="20"/>
                <w:lang w:eastAsia="x-none"/>
              </w:rPr>
              <w:t xml:space="preserve">PROCEDURA APERTA PER </w:t>
            </w:r>
            <w:bookmarkStart w:id="2" w:name="_Hlk189553502"/>
            <w:bookmarkEnd w:id="1"/>
            <w:r w:rsidRPr="00ED2C91">
              <w:rPr>
                <w:rFonts w:ascii="Arial" w:hAnsi="Arial" w:cs="Arial"/>
                <w:sz w:val="20"/>
                <w:szCs w:val="20"/>
                <w:lang w:eastAsia="x-none"/>
              </w:rPr>
              <w:t>AFFIDAMENTO TRAMITE ACCORDO QUADRO DEI SERVIZI POSTALI PER LA CORRISPONDENZA E PER PACCHI DEL COMUNE DI CHIAVARI PER IL BIENNIO 2026-2027 CON OPZIONE DI RINNOVO PER ULTERIORI 2 ANNI.</w:t>
            </w:r>
          </w:p>
          <w:bookmarkEnd w:id="0"/>
          <w:bookmarkEnd w:id="2"/>
          <w:p w14:paraId="6B06AE12" w14:textId="609D0A0F" w:rsidR="00EE53B2" w:rsidRPr="00376191" w:rsidRDefault="00ED2C91" w:rsidP="00ED2C91">
            <w:pPr>
              <w:pStyle w:val="Titolo2"/>
              <w:ind w:left="0"/>
              <w:jc w:val="both"/>
              <w:rPr>
                <w:sz w:val="13"/>
              </w:rPr>
            </w:pPr>
            <w:r w:rsidRPr="00ED2C91">
              <w:rPr>
                <w:rFonts w:ascii="Arial" w:hAnsi="Arial" w:cs="Arial"/>
                <w:sz w:val="20"/>
                <w:szCs w:val="20"/>
                <w:lang w:eastAsia="x-none"/>
              </w:rPr>
              <w:t xml:space="preserve"> </w:t>
            </w:r>
          </w:p>
        </w:tc>
      </w:tr>
      <w:tr w:rsidR="00EE53B2" w14:paraId="480DD9A0" w14:textId="77777777" w:rsidTr="00ED2C91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480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D2C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376191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>
              <w:rPr>
                <w:sz w:val="13"/>
              </w:rPr>
              <w:t xml:space="preserve"> </w:t>
            </w:r>
          </w:p>
        </w:tc>
        <w:tc>
          <w:tcPr>
            <w:tcW w:w="480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3827" w:type="dxa"/>
            <w:tcBorders>
              <w:left w:val="nil"/>
              <w:bottom w:val="nil"/>
            </w:tcBorders>
          </w:tcPr>
          <w:p w14:paraId="55E25652" w14:textId="64A346C5" w:rsidR="00EE53B2" w:rsidRPr="00AA01CE" w:rsidRDefault="00ED2C91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ED2C91">
              <w:rPr>
                <w:rFonts w:ascii="Arial" w:hAnsi="Arial" w:cs="Arial"/>
                <w:sz w:val="20"/>
                <w:szCs w:val="20"/>
                <w:lang w:eastAsia="x-none"/>
              </w:rPr>
              <w:t>B87AB33944</w:t>
            </w:r>
          </w:p>
        </w:tc>
      </w:tr>
      <w:tr w:rsidR="00EE53B2" w14:paraId="0C34C0A1" w14:textId="77777777" w:rsidTr="00ED2C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D2C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D2C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No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</w:t>
            </w:r>
            <w:proofErr w:type="gramStart"/>
            <w:r w:rsidRPr="00376191">
              <w:rPr>
                <w:w w:val="110"/>
                <w:sz w:val="13"/>
              </w:rPr>
              <w:t xml:space="preserve">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[  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94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</w:t>
            </w:r>
            <w:proofErr w:type="gramStart"/>
            <w:r w:rsidRPr="00376191">
              <w:rPr>
                <w:w w:val="105"/>
                <w:sz w:val="14"/>
              </w:rPr>
              <w:t xml:space="preserve">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proofErr w:type="gram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 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indebitamente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significative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  <w:proofErr w:type="gramEnd"/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risarcimento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proofErr w:type="gramEnd"/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proofErr w:type="gramEnd"/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comunicazioni  sociali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di  cui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proofErr w:type="gramStart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</w:t>
            </w:r>
            <w:proofErr w:type="gramStart"/>
            <w:r w:rsidRPr="00376191">
              <w:rPr>
                <w:w w:val="125"/>
                <w:sz w:val="13"/>
              </w:rPr>
              <w:t>…….</w:t>
            </w:r>
            <w:proofErr w:type="gramEnd"/>
            <w:r w:rsidRPr="00376191">
              <w:rPr>
                <w:w w:val="125"/>
                <w:sz w:val="13"/>
              </w:rPr>
              <w:t>.</w:t>
            </w:r>
            <w:proofErr w:type="gramStart"/>
            <w:r w:rsidRPr="00376191">
              <w:rPr>
                <w:w w:val="125"/>
                <w:sz w:val="13"/>
              </w:rPr>
              <w:t>…][</w:t>
            </w:r>
            <w:proofErr w:type="gramEnd"/>
            <w:r w:rsidRPr="00376191">
              <w:rPr>
                <w:w w:val="125"/>
                <w:sz w:val="13"/>
              </w:rPr>
              <w:t>…</w:t>
            </w:r>
            <w:proofErr w:type="gramStart"/>
            <w:r w:rsidRPr="00376191">
              <w:rPr>
                <w:w w:val="125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gli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tecnici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proofErr w:type="gramEnd"/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…](</w:t>
            </w:r>
            <w:proofErr w:type="gramEnd"/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9557B"/>
    <w:rsid w:val="00203542"/>
    <w:rsid w:val="00271E9C"/>
    <w:rsid w:val="003118B6"/>
    <w:rsid w:val="0032166B"/>
    <w:rsid w:val="00376191"/>
    <w:rsid w:val="003A28F8"/>
    <w:rsid w:val="003B3E99"/>
    <w:rsid w:val="0047413A"/>
    <w:rsid w:val="00477130"/>
    <w:rsid w:val="00506A11"/>
    <w:rsid w:val="005443A5"/>
    <w:rsid w:val="00576C00"/>
    <w:rsid w:val="005F6AF5"/>
    <w:rsid w:val="00614D8A"/>
    <w:rsid w:val="007F6A69"/>
    <w:rsid w:val="00AA01CE"/>
    <w:rsid w:val="00C91CC6"/>
    <w:rsid w:val="00D3032F"/>
    <w:rsid w:val="00D3702C"/>
    <w:rsid w:val="00D90842"/>
    <w:rsid w:val="00E74DF9"/>
    <w:rsid w:val="00ED2C91"/>
    <w:rsid w:val="00EE53B2"/>
    <w:rsid w:val="00F8060F"/>
    <w:rsid w:val="00F940DC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6277</Words>
  <Characters>36509</Characters>
  <Application>Microsoft Office Word</Application>
  <DocSecurity>0</DocSecurity>
  <Lines>304</Lines>
  <Paragraphs>85</Paragraphs>
  <ScaleCrop>false</ScaleCrop>
  <Company/>
  <LinksUpToDate>false</LinksUpToDate>
  <CharactersWithSpaces>42701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7</cp:revision>
  <dcterms:created xsi:type="dcterms:W3CDTF">2024-02-14T08:11:00Z</dcterms:created>
  <dcterms:modified xsi:type="dcterms:W3CDTF">2025-10-06T06:41:00Z</dcterms:modified>
</cp:coreProperties>
</file>